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5ADF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CC2C11B">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2D6AC0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11.100 </w:t>
            </w:r>
            <w:r>
              <w:rPr>
                <w:rFonts w:ascii="黑体" w:hAnsi="黑体" w:eastAsia="黑体"/>
                <w:sz w:val="21"/>
                <w:szCs w:val="21"/>
              </w:rPr>
              <w:fldChar w:fldCharType="end"/>
            </w:r>
            <w:bookmarkEnd w:id="0"/>
          </w:p>
        </w:tc>
      </w:tr>
      <w:tr w14:paraId="4FD5A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BEA338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F1CD02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C08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3E3821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95A6EC9">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50</w:t>
            </w:r>
            <w:r>
              <w:fldChar w:fldCharType="end"/>
            </w:r>
            <w:bookmarkEnd w:id="3"/>
          </w:p>
        </w:tc>
      </w:tr>
    </w:tbl>
    <w:p w14:paraId="44B108C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重庆市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5067840">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50/T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2024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908E79D">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7682A3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EEE0F0E">
      <w:pPr>
        <w:pStyle w:val="50"/>
        <w:framePr w:w="9639" w:h="6976" w:hRule="exact" w:hSpace="0" w:vSpace="0" w:wrap="around" w:hAnchor="page" w:y="6408"/>
        <w:jc w:val="center"/>
        <w:rPr>
          <w:rFonts w:ascii="黑体" w:hAnsi="黑体" w:eastAsia="黑体"/>
          <w:b w:val="0"/>
          <w:bCs w:val="0"/>
          <w:w w:val="100"/>
        </w:rPr>
      </w:pPr>
    </w:p>
    <w:p w14:paraId="6E58EF4A">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人间传染的</w:t>
      </w:r>
      <w:r>
        <w:rPr>
          <w:rFonts w:hint="eastAsia"/>
          <w:lang w:eastAsia="zh-CN"/>
        </w:rPr>
        <w:t>高致病性</w:t>
      </w:r>
      <w:r>
        <w:t>病原微生物</w:t>
      </w:r>
    </w:p>
    <w:p w14:paraId="2FBED6E0">
      <w:pPr>
        <w:pStyle w:val="197"/>
        <w:framePr w:h="6974" w:hRule="exact" w:wrap="around" w:x="1419" w:anchorLock="1"/>
      </w:pPr>
      <w:bookmarkStart w:id="45" w:name="_GoBack"/>
      <w:bookmarkEnd w:id="45"/>
      <w:r>
        <w:t>菌（毒）种或样本包装技术规范</w:t>
      </w:r>
      <w:r>
        <w:fldChar w:fldCharType="end"/>
      </w:r>
      <w:bookmarkEnd w:id="9"/>
    </w:p>
    <w:p w14:paraId="12E62258">
      <w:pPr>
        <w:framePr w:w="9639" w:h="6974" w:hRule="exact" w:wrap="around" w:vAnchor="page" w:hAnchor="page" w:x="1419" w:y="6408" w:anchorLock="1"/>
        <w:ind w:left="-1418"/>
      </w:pPr>
    </w:p>
    <w:p w14:paraId="34059930">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specification for the packaging of </w:t>
      </w:r>
      <w:r>
        <w:rPr>
          <w:rFonts w:hint="eastAsia" w:ascii="黑体" w:hAnsi="黑体" w:eastAsia="黑体"/>
          <w:szCs w:val="28"/>
          <w:lang w:val="en-US" w:eastAsia="zh-CN"/>
        </w:rPr>
        <w:t xml:space="preserve">highly </w:t>
      </w:r>
      <w:r>
        <w:rPr>
          <w:rFonts w:ascii="黑体" w:hAnsi="黑体" w:eastAsia="黑体"/>
          <w:szCs w:val="28"/>
        </w:rPr>
        <w:t>pathogenic microorganisms (viruses) or samples transmitted between humans</w:t>
      </w:r>
      <w:r>
        <w:rPr>
          <w:rFonts w:ascii="黑体" w:hAnsi="黑体" w:eastAsia="黑体"/>
          <w:szCs w:val="28"/>
        </w:rPr>
        <w:fldChar w:fldCharType="end"/>
      </w:r>
      <w:bookmarkEnd w:id="10"/>
    </w:p>
    <w:p w14:paraId="5280881B">
      <w:pPr>
        <w:framePr w:w="9639" w:h="6974" w:hRule="exact" w:wrap="around" w:vAnchor="page" w:hAnchor="page" w:x="1419" w:y="6408" w:anchorLock="1"/>
        <w:spacing w:line="760" w:lineRule="exact"/>
        <w:ind w:left="-1418"/>
      </w:pPr>
    </w:p>
    <w:p w14:paraId="60E6AE49">
      <w:pPr>
        <w:pStyle w:val="125"/>
        <w:framePr w:w="9639" w:h="6974" w:hRule="exact" w:wrap="around" w:vAnchor="page" w:hAnchor="page" w:x="1419" w:y="6408" w:anchorLock="1"/>
        <w:textAlignment w:val="bottom"/>
        <w:rPr>
          <w:rFonts w:eastAsia="黑体"/>
          <w:szCs w:val="28"/>
        </w:rPr>
      </w:pPr>
    </w:p>
    <w:p w14:paraId="5D6B8F4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898DA1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w:t>
      </w:r>
      <w:r>
        <w:rPr>
          <w:sz w:val="21"/>
          <w:szCs w:val="28"/>
        </w:rPr>
        <w:t>0240820</w:t>
      </w:r>
      <w:r>
        <w:rPr>
          <w:rFonts w:hint="eastAsia"/>
          <w:sz w:val="21"/>
          <w:szCs w:val="28"/>
        </w:rPr>
        <w:t>）</w:t>
      </w:r>
      <w:r>
        <w:rPr>
          <w:sz w:val="21"/>
          <w:szCs w:val="28"/>
        </w:rPr>
        <w:fldChar w:fldCharType="end"/>
      </w:r>
      <w:bookmarkEnd w:id="12"/>
    </w:p>
    <w:p w14:paraId="6AD520E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72BED19">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08</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752666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02B50C3">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重庆市</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61C329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4899AC">
      <w:pPr>
        <w:pStyle w:val="89"/>
        <w:spacing w:before="900" w:after="468"/>
      </w:pPr>
      <w:bookmarkStart w:id="21" w:name="BookMark2"/>
      <w:r>
        <w:rPr>
          <w:spacing w:val="320"/>
        </w:rPr>
        <w:t>前</w:t>
      </w:r>
      <w:r>
        <w:t>言</w:t>
      </w:r>
    </w:p>
    <w:p w14:paraId="4860E167">
      <w:pPr>
        <w:pStyle w:val="56"/>
        <w:ind w:firstLine="420"/>
        <w:rPr>
          <w:rFonts w:hint="eastAsia"/>
        </w:rPr>
      </w:pPr>
      <w:r>
        <w:rPr>
          <w:rFonts w:hint="eastAsia"/>
        </w:rPr>
        <w:t>本文件按照GB/T 1.1—2020《标准化工作导则  第1部分：标准化文件的结构和起草规则》的规定起草。</w:t>
      </w:r>
    </w:p>
    <w:p w14:paraId="15A1F565">
      <w:pPr>
        <w:pStyle w:val="56"/>
        <w:ind w:firstLine="420"/>
      </w:pPr>
      <w:r>
        <w:rPr>
          <w:rFonts w:hint="eastAsia"/>
        </w:rPr>
        <w:t>本文件由重庆市人口和计划生育科学技术研究院提出。</w:t>
      </w:r>
    </w:p>
    <w:p w14:paraId="48A37C22">
      <w:pPr>
        <w:pStyle w:val="56"/>
        <w:ind w:firstLine="420"/>
      </w:pPr>
      <w:r>
        <w:rPr>
          <w:rFonts w:hint="eastAsia"/>
        </w:rPr>
        <w:t>本文件由重庆市卫生健康委组织实施。</w:t>
      </w:r>
    </w:p>
    <w:p w14:paraId="0E0119A5">
      <w:pPr>
        <w:pStyle w:val="56"/>
        <w:ind w:firstLine="420"/>
      </w:pPr>
      <w:r>
        <w:rPr>
          <w:rFonts w:hint="eastAsia"/>
        </w:rPr>
        <w:t>本文件由重庆市市场监督管理局归口。</w:t>
      </w:r>
    </w:p>
    <w:p w14:paraId="7D9F33F9">
      <w:pPr>
        <w:pStyle w:val="13"/>
        <w:kinsoku w:val="0"/>
        <w:overflowPunct w:val="0"/>
        <w:spacing w:before="7" w:line="240" w:lineRule="exact"/>
        <w:ind w:firstLine="420" w:firstLineChars="200"/>
      </w:pPr>
      <w:r>
        <w:rPr>
          <w:rFonts w:hint="eastAsia"/>
        </w:rPr>
        <w:t>本文件起草单位：重庆市人口和计划生育科学技术研究院、重庆市疾病预防控制中心、重庆市人民医院。</w:t>
      </w:r>
    </w:p>
    <w:p w14:paraId="686A77F1">
      <w:pPr>
        <w:pStyle w:val="56"/>
        <w:ind w:firstLine="420"/>
      </w:pPr>
      <w:r>
        <w:rPr>
          <w:rFonts w:hint="eastAsia"/>
        </w:rPr>
        <w:t>本文件主要起草人：朱一剑、向尧、胡黎黎、李征、蔡娇娇、廖春艳、凌华、廖爱玲、李志峰、周全华、孙丹、徐兰兰。</w:t>
      </w:r>
    </w:p>
    <w:p w14:paraId="060B024F">
      <w:pPr>
        <w:pStyle w:val="56"/>
        <w:ind w:firstLine="420"/>
        <w:rPr>
          <w:rFonts w:hint="eastAsia"/>
        </w:rPr>
      </w:pPr>
    </w:p>
    <w:p w14:paraId="1FD04BBD">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53C1A96E">
      <w:pPr>
        <w:spacing w:line="20" w:lineRule="exact"/>
        <w:jc w:val="center"/>
        <w:rPr>
          <w:rFonts w:ascii="黑体" w:hAnsi="黑体" w:eastAsia="黑体"/>
          <w:sz w:val="32"/>
          <w:szCs w:val="32"/>
        </w:rPr>
      </w:pPr>
      <w:bookmarkStart w:id="22" w:name="BookMark4"/>
    </w:p>
    <w:p w14:paraId="05777B0B">
      <w:pPr>
        <w:spacing w:line="20" w:lineRule="exact"/>
        <w:jc w:val="center"/>
        <w:rPr>
          <w:rFonts w:ascii="黑体" w:hAnsi="黑体" w:eastAsia="黑体"/>
          <w:sz w:val="32"/>
          <w:szCs w:val="32"/>
        </w:rPr>
      </w:pPr>
    </w:p>
    <w:sdt>
      <w:sdtPr>
        <w:tag w:val="NEW_STAND_NAME"/>
        <w:id w:val="595910757"/>
        <w:lock w:val="sdtLocked"/>
        <w:placeholder>
          <w:docPart w:val="AD79DEEDFF694BAABB5ACB118D42D79A"/>
        </w:placeholder>
      </w:sdtPr>
      <w:sdtContent>
        <w:p w14:paraId="056FB73C">
          <w:pPr>
            <w:pStyle w:val="177"/>
            <w:bidi w:val="0"/>
            <w:spacing w:before="313" w:beforeLines="100" w:after="687" w:afterLines="220"/>
          </w:pPr>
          <w:bookmarkStart w:id="23" w:name="NEW_STAND_NAME"/>
          <w:r>
            <w:rPr>
              <w:rFonts w:hint="eastAsia"/>
              <w:lang w:eastAsia="zh-CN"/>
            </w:rPr>
            <w:t>人间传染的高致病性病原微生物菌（毒）种或样本包装技术规范</w:t>
          </w:r>
        </w:p>
      </w:sdtContent>
    </w:sdt>
    <w:bookmarkEnd w:id="23"/>
    <w:p w14:paraId="6652EDA2">
      <w:pPr>
        <w:pStyle w:val="104"/>
        <w:spacing w:before="312" w:after="312"/>
      </w:pPr>
      <w:bookmarkStart w:id="24" w:name="_Toc17233325"/>
      <w:bookmarkStart w:id="25" w:name="_Toc17233333"/>
      <w:bookmarkStart w:id="26" w:name="_Toc24884218"/>
      <w:bookmarkStart w:id="27" w:name="_Toc24884211"/>
      <w:bookmarkStart w:id="28" w:name="_Toc26718930"/>
      <w:bookmarkStart w:id="29" w:name="_Toc26986771"/>
      <w:bookmarkStart w:id="30" w:name="_Toc26648465"/>
      <w:bookmarkStart w:id="31" w:name="_Toc97191423"/>
      <w:bookmarkStart w:id="32" w:name="_Toc26986530"/>
      <w:r>
        <w:rPr>
          <w:rFonts w:hint="eastAsia"/>
        </w:rPr>
        <w:t>范围</w:t>
      </w:r>
      <w:bookmarkEnd w:id="24"/>
      <w:bookmarkEnd w:id="25"/>
      <w:bookmarkEnd w:id="26"/>
      <w:bookmarkEnd w:id="27"/>
      <w:bookmarkEnd w:id="28"/>
      <w:bookmarkEnd w:id="29"/>
      <w:bookmarkEnd w:id="30"/>
      <w:bookmarkEnd w:id="31"/>
      <w:bookmarkEnd w:id="32"/>
    </w:p>
    <w:p w14:paraId="639AE1C4">
      <w:pPr>
        <w:pStyle w:val="56"/>
        <w:ind w:firstLine="420"/>
        <w:rPr>
          <w:rFonts w:hint="eastAsia"/>
        </w:rPr>
      </w:pPr>
      <w:bookmarkStart w:id="33" w:name="_Toc17233326"/>
      <w:bookmarkStart w:id="34" w:name="_Toc17233334"/>
      <w:bookmarkStart w:id="35" w:name="_Toc26648466"/>
      <w:bookmarkStart w:id="36" w:name="_Toc24884212"/>
      <w:bookmarkStart w:id="37" w:name="_Toc24884219"/>
      <w:r>
        <w:rPr>
          <w:rFonts w:hint="eastAsia"/>
        </w:rPr>
        <w:t>本文件规定了人间传染的高致病性病原微生物菌（毒）种或样本运输包装基本技术规范要求。</w:t>
      </w:r>
    </w:p>
    <w:p w14:paraId="667EA1C3">
      <w:pPr>
        <w:pStyle w:val="56"/>
        <w:ind w:firstLine="420"/>
      </w:pPr>
      <w:r>
        <w:rPr>
          <w:rFonts w:hint="eastAsia"/>
        </w:rPr>
        <w:t>本文件适用于重庆市辖区内人间传染的高致病性病原微生物菌（毒）种或样本的运输包装工作。</w:t>
      </w:r>
    </w:p>
    <w:p w14:paraId="479246B1">
      <w:pPr>
        <w:pStyle w:val="104"/>
        <w:spacing w:before="312" w:after="312"/>
      </w:pPr>
      <w:bookmarkStart w:id="38" w:name="_Toc26718931"/>
      <w:bookmarkStart w:id="39" w:name="_Toc26986772"/>
      <w:bookmarkStart w:id="40" w:name="_Toc269865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0B1AB5AC6044F36A93D6CE6B08635A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7F3360A">
          <w:pPr>
            <w:pStyle w:val="56"/>
            <w:ind w:firstLine="420"/>
          </w:pPr>
          <w:r>
            <w:rPr>
              <w:rFonts w:hint="eastAsia"/>
            </w:rPr>
            <w:t>本文件没有规范性引用文件。</w:t>
          </w:r>
        </w:p>
      </w:sdtContent>
    </w:sdt>
    <w:p w14:paraId="5B036710">
      <w:pPr>
        <w:pStyle w:val="56"/>
        <w:ind w:firstLine="420"/>
      </w:pPr>
    </w:p>
    <w:p w14:paraId="399B5AC8">
      <w:pPr>
        <w:pStyle w:val="104"/>
        <w:spacing w:before="312" w:after="312"/>
      </w:pPr>
      <w:bookmarkStart w:id="42" w:name="_Toc97191425"/>
      <w:r>
        <w:rPr>
          <w:rFonts w:hint="eastAsia"/>
          <w:szCs w:val="21"/>
        </w:rPr>
        <w:t>术语和定义</w:t>
      </w:r>
      <w:bookmarkEnd w:id="42"/>
    </w:p>
    <w:sdt>
      <w:sdtPr>
        <w:id w:val="-1909835108"/>
        <w:placeholder>
          <w:docPart w:val="80351CF02EDF4112A9260117407DC76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661B152">
          <w:pPr>
            <w:pStyle w:val="56"/>
            <w:ind w:firstLine="420"/>
          </w:pPr>
          <w:bookmarkStart w:id="43" w:name="_Toc26986532"/>
          <w:bookmarkEnd w:id="43"/>
          <w:r>
            <w:t>下列术语和定义适用于本文件。</w:t>
          </w:r>
        </w:p>
      </w:sdtContent>
    </w:sdt>
    <w:p w14:paraId="26E2DE25">
      <w:pPr>
        <w:pStyle w:val="105"/>
        <w:spacing w:before="156" w:after="156"/>
      </w:pPr>
      <w:r>
        <w:rPr>
          <w:rFonts w:hint="eastAsia"/>
        </w:rPr>
        <w:t>高致病性病原微生物菌（毒）种或样本 highly pathogenic microorganism species</w:t>
      </w:r>
    </w:p>
    <w:p w14:paraId="5F7109CF">
      <w:pPr>
        <w:pStyle w:val="56"/>
        <w:ind w:firstLine="420"/>
      </w:pPr>
      <w:r>
        <w:rPr>
          <w:rFonts w:hint="eastAsia"/>
        </w:rPr>
        <w:t>在《人间传染的病原微生物目录》中规定的第一类、第二类病原微生物菌（毒）种或样本，第三类病原微生物运输包装分类为A类的病原微生物菌（毒）种或样本，以及疑似高致病性病原微生物菌（毒）种或样本。以下简称“菌（毒）种或样本”。</w:t>
      </w:r>
    </w:p>
    <w:p w14:paraId="52F17726">
      <w:pPr>
        <w:pStyle w:val="105"/>
        <w:spacing w:before="156" w:after="156"/>
      </w:pPr>
      <w:r>
        <w:rPr>
          <w:rFonts w:hint="eastAsia"/>
        </w:rPr>
        <w:t>主容器 primary container</w:t>
      </w:r>
    </w:p>
    <w:p w14:paraId="2D6C10AA">
      <w:pPr>
        <w:pStyle w:val="56"/>
        <w:ind w:firstLine="420"/>
        <w:rPr>
          <w:color w:val="000000"/>
          <w:szCs w:val="21"/>
        </w:rPr>
      </w:pPr>
      <w:r>
        <w:rPr>
          <w:rFonts w:hint="eastAsia"/>
          <w:color w:val="000000"/>
          <w:szCs w:val="21"/>
        </w:rPr>
        <w:t>用于盛装菌毒种或样本的容器，位于基本三层包装最内层。</w:t>
      </w:r>
    </w:p>
    <w:p w14:paraId="6DD269B6">
      <w:pPr>
        <w:pStyle w:val="105"/>
        <w:spacing w:before="156" w:after="156"/>
        <w:rPr>
          <w:rFonts w:hint="eastAsia"/>
        </w:rPr>
      </w:pPr>
      <w:r>
        <w:rPr>
          <w:rFonts w:hint="eastAsia"/>
        </w:rPr>
        <w:t>辅助容器 second container</w:t>
      </w:r>
    </w:p>
    <w:p w14:paraId="775A0C6C">
      <w:pPr>
        <w:pStyle w:val="56"/>
        <w:ind w:firstLine="420"/>
        <w:rPr>
          <w:rFonts w:hint="eastAsia"/>
        </w:rPr>
      </w:pPr>
      <w:r>
        <w:rPr>
          <w:rFonts w:hint="eastAsia"/>
        </w:rPr>
        <w:t>用于包裹和保护主容器及其吸收性材料的中层容器。</w:t>
      </w:r>
    </w:p>
    <w:p w14:paraId="5218536C">
      <w:pPr>
        <w:pStyle w:val="56"/>
        <w:ind w:firstLine="420"/>
        <w:rPr>
          <w:rFonts w:hint="eastAsia"/>
        </w:rPr>
      </w:pPr>
      <w:r>
        <w:rPr>
          <w:rFonts w:hint="eastAsia"/>
        </w:rPr>
        <w:t>在主容器之外的结实、防水和防泄漏的第二层容器，用于包装及保护主容器。</w:t>
      </w:r>
    </w:p>
    <w:p w14:paraId="4D980490">
      <w:pPr>
        <w:pStyle w:val="105"/>
        <w:spacing w:before="156" w:after="156"/>
        <w:rPr>
          <w:rFonts w:hAnsi="黑体"/>
        </w:rPr>
      </w:pPr>
      <w:r>
        <w:rPr>
          <w:rFonts w:hint="eastAsia" w:hAnsi="黑体"/>
        </w:rPr>
        <w:t>外包装 External container</w:t>
      </w:r>
    </w:p>
    <w:p w14:paraId="2F19A998">
      <w:pPr>
        <w:pStyle w:val="56"/>
        <w:ind w:firstLine="420"/>
      </w:pPr>
      <w:r>
        <w:rPr>
          <w:rFonts w:hint="eastAsia"/>
        </w:rPr>
        <w:t>用于保护辅助容器在运输过程中免受物理性损坏的一层保护层。</w:t>
      </w:r>
    </w:p>
    <w:p w14:paraId="432D3DBF">
      <w:pPr>
        <w:pStyle w:val="105"/>
        <w:spacing w:before="156" w:after="156"/>
      </w:pPr>
      <w:r>
        <w:rPr>
          <w:rFonts w:hint="eastAsia"/>
        </w:rPr>
        <w:t>A类 Category A</w:t>
      </w:r>
    </w:p>
    <w:p w14:paraId="534FB394">
      <w:pPr>
        <w:pStyle w:val="56"/>
        <w:ind w:firstLine="420"/>
      </w:pPr>
      <w:r>
        <w:rPr>
          <w:rFonts w:hint="eastAsia"/>
        </w:rPr>
        <w:t>按国际民航组织文件 Doc9284《危险品航空安全运输技术细则》的分类包装要求，将相关病原和标本分为 A、B两类，A类指存在致死或永久致残的感染性物质，包装对应的联合国编号为 UN2814。</w:t>
      </w:r>
    </w:p>
    <w:p w14:paraId="791D128B">
      <w:pPr>
        <w:pStyle w:val="56"/>
        <w:ind w:firstLine="420"/>
      </w:pPr>
      <w:r>
        <w:rPr>
          <w:rFonts w:hint="eastAsia"/>
        </w:rPr>
        <w:t>[来源：人间传染的病原微生物目录]</w:t>
      </w:r>
    </w:p>
    <w:p w14:paraId="44F4A9C5">
      <w:pPr>
        <w:pStyle w:val="105"/>
        <w:spacing w:before="156" w:after="156"/>
        <w:rPr>
          <w:rFonts w:hAnsi="黑体"/>
        </w:rPr>
      </w:pPr>
      <w:r>
        <w:rPr>
          <w:rFonts w:hint="eastAsia" w:hAnsi="黑体"/>
        </w:rPr>
        <w:t>B类 Category B</w:t>
      </w:r>
    </w:p>
    <w:p w14:paraId="33B3B56A">
      <w:pPr>
        <w:pStyle w:val="56"/>
        <w:ind w:firstLine="420"/>
      </w:pPr>
      <w:r>
        <w:rPr>
          <w:rFonts w:hint="eastAsia"/>
        </w:rPr>
        <w:t>不列入 A 类的感染性物质，包装对应的联合国编号为 UN3373。</w:t>
      </w:r>
    </w:p>
    <w:p w14:paraId="44EB5E28">
      <w:pPr>
        <w:pStyle w:val="56"/>
        <w:ind w:firstLine="420"/>
      </w:pPr>
      <w:r>
        <w:rPr>
          <w:rFonts w:hint="eastAsia"/>
        </w:rPr>
        <w:t>[来源：人间传染的病原微生物目录]</w:t>
      </w:r>
    </w:p>
    <w:p w14:paraId="5220A0E3">
      <w:pPr>
        <w:pStyle w:val="105"/>
        <w:spacing w:before="156" w:after="156"/>
        <w:rPr>
          <w:szCs w:val="21"/>
        </w:rPr>
      </w:pPr>
      <w:r>
        <w:rPr>
          <w:rFonts w:hint="eastAsia"/>
        </w:rPr>
        <w:t xml:space="preserve">冷却剂 </w:t>
      </w:r>
      <w:r>
        <w:rPr>
          <w:rFonts w:hint="eastAsia"/>
          <w:szCs w:val="21"/>
        </w:rPr>
        <w:t>coolant</w:t>
      </w:r>
    </w:p>
    <w:p w14:paraId="3716C13D">
      <w:pPr>
        <w:pStyle w:val="56"/>
        <w:ind w:firstLine="420"/>
      </w:pPr>
      <w:r>
        <w:rPr>
          <w:rFonts w:hint="eastAsia"/>
        </w:rPr>
        <w:t>也称为“制冷剂”，是用于保持危险货物周围低温的一种物质，以保持其活性及生物学特性，直至到达最终目的地。常用冷却剂有湿冰、干冰、液氮等。</w:t>
      </w:r>
    </w:p>
    <w:p w14:paraId="6CD74436">
      <w:pPr>
        <w:pStyle w:val="105"/>
        <w:spacing w:before="156" w:after="156"/>
      </w:pPr>
      <w:r>
        <w:rPr>
          <w:rFonts w:hint="eastAsia"/>
        </w:rPr>
        <w:t>稳定剂 Stabilizer</w:t>
      </w:r>
    </w:p>
    <w:p w14:paraId="08863E93">
      <w:pPr>
        <w:pStyle w:val="56"/>
        <w:ind w:firstLine="420"/>
      </w:pPr>
      <w:r>
        <w:rPr>
          <w:rFonts w:hint="eastAsia"/>
        </w:rPr>
        <w:t>一种化学物质，用于保持菌（毒）种或样本的活性，防止降解或保持抗原完整性。常用稳定剂有山梨醇、胎牛血清（FBS）、醇类、醇类溶液或甲醛等。</w:t>
      </w:r>
    </w:p>
    <w:p w14:paraId="43EA5429">
      <w:pPr>
        <w:pStyle w:val="105"/>
        <w:spacing w:before="156" w:after="156"/>
      </w:pPr>
      <w:r>
        <w:rPr>
          <w:rFonts w:hint="eastAsia"/>
        </w:rPr>
        <w:t>内部运输 Internal transportation</w:t>
      </w:r>
    </w:p>
    <w:p w14:paraId="1693B154">
      <w:pPr>
        <w:pStyle w:val="56"/>
        <w:ind w:firstLine="420"/>
      </w:pPr>
      <w:r>
        <w:rPr>
          <w:rFonts w:hint="eastAsia"/>
        </w:rPr>
        <w:t>同一单位同一场所内的菌（毒）种或样本运输。</w:t>
      </w:r>
    </w:p>
    <w:p w14:paraId="30A7C3F1">
      <w:pPr>
        <w:pStyle w:val="104"/>
        <w:spacing w:before="312" w:after="312"/>
      </w:pPr>
      <w:r>
        <w:rPr>
          <w:rFonts w:hint="eastAsia"/>
        </w:rPr>
        <w:t>包装要求</w:t>
      </w:r>
    </w:p>
    <w:p w14:paraId="570402D3">
      <w:pPr>
        <w:pStyle w:val="105"/>
        <w:spacing w:before="156" w:after="156"/>
      </w:pPr>
      <w:r>
        <w:rPr>
          <w:rFonts w:hint="eastAsia"/>
        </w:rPr>
        <w:t>基本三层包装系统</w:t>
      </w:r>
    </w:p>
    <w:p w14:paraId="787C6A81">
      <w:pPr>
        <w:pStyle w:val="165"/>
      </w:pPr>
      <w:r>
        <w:rPr>
          <w:rFonts w:hint="eastAsia" w:hAnsi="宋体" w:cs="宋体"/>
          <w:color w:val="000000"/>
          <w:szCs w:val="21"/>
        </w:rPr>
        <w:t>运输菌（毒）种或样本应采取基本三层包装系统，由内到外分别为主容器、辅助容器和外包装。</w:t>
      </w:r>
    </w:p>
    <w:p w14:paraId="31CBCEDA">
      <w:pPr>
        <w:pStyle w:val="165"/>
      </w:pPr>
      <w:r>
        <w:rPr>
          <w:rFonts w:hint="eastAsia" w:hAnsi="宋体" w:cs="宋体"/>
          <w:color w:val="000000"/>
          <w:szCs w:val="21"/>
        </w:rPr>
        <w:t>主容器应无菌、防水、防泄漏，并根据内装物贴上适当的标签，包括但不限于标本类别、编号、名称、样本量等信息。</w:t>
      </w:r>
    </w:p>
    <w:p w14:paraId="11E1157A">
      <w:pPr>
        <w:pStyle w:val="165"/>
      </w:pPr>
      <w:r>
        <w:rPr>
          <w:rFonts w:hint="eastAsia" w:hAnsi="宋体" w:cs="宋体"/>
          <w:color w:val="000000"/>
          <w:szCs w:val="21"/>
        </w:rPr>
        <w:t>主容器应配备保证防漏密封的有效装置，如热封、有缘的塞子或金属卷边密封。如使用螺旋盖，应采取胶带、石蜡密封带或预制闭锁装置等有效装置加固。</w:t>
      </w:r>
    </w:p>
    <w:p w14:paraId="005749F4">
      <w:pPr>
        <w:pStyle w:val="165"/>
      </w:pPr>
      <w:r>
        <w:rPr>
          <w:rFonts w:hint="eastAsia" w:hAnsi="宋体" w:cs="宋体"/>
          <w:color w:val="000000"/>
          <w:szCs w:val="21"/>
        </w:rPr>
        <w:t>冻干物质宜采用火封玻璃安瓿或有金属封口的橡皮塞玻璃瓶之类的主容器进行运输。</w:t>
      </w:r>
    </w:p>
    <w:p w14:paraId="548EA1D5">
      <w:pPr>
        <w:pStyle w:val="165"/>
      </w:pPr>
      <w:r>
        <w:rPr>
          <w:rFonts w:hint="eastAsia" w:hAnsi="宋体" w:cs="宋体"/>
          <w:color w:val="000000"/>
          <w:szCs w:val="21"/>
        </w:rPr>
        <w:t>主容器不得因接触菌（毒）种或样本而受到影响。在环境温度（或较高温度）下运输物质时，主容器应为玻璃、金属或塑料材质。</w:t>
      </w:r>
    </w:p>
    <w:p w14:paraId="660F9511">
      <w:pPr>
        <w:pStyle w:val="165"/>
      </w:pPr>
      <w:r>
        <w:rPr>
          <w:rFonts w:hint="eastAsia" w:hAnsi="宋体" w:cs="宋体"/>
          <w:color w:val="000000"/>
          <w:szCs w:val="21"/>
        </w:rPr>
        <w:t>菌（毒）种或样本在含有液体或半液体物质的情况下，主容器应有足够的吸收性材料以便在包装破损或泄漏时吸收所有液体。</w:t>
      </w:r>
    </w:p>
    <w:p w14:paraId="436039F7">
      <w:pPr>
        <w:pStyle w:val="165"/>
      </w:pPr>
      <w:r>
        <w:rPr>
          <w:rFonts w:hint="eastAsia" w:hAnsi="宋体" w:cs="宋体"/>
          <w:color w:val="000000"/>
          <w:szCs w:val="21"/>
        </w:rPr>
        <w:t>辅助容器应防水、防泄漏。</w:t>
      </w:r>
    </w:p>
    <w:p w14:paraId="3012DB6B">
      <w:pPr>
        <w:pStyle w:val="165"/>
      </w:pPr>
      <w:r>
        <w:rPr>
          <w:rFonts w:hint="eastAsia" w:hAnsi="宋体" w:cs="宋体"/>
          <w:color w:val="000000"/>
          <w:szCs w:val="21"/>
        </w:rPr>
        <w:t>盛装同一类别的菌（毒）种或样本的多个主容器可放在一个辅助容器内。如主容器易碎，应分别包裹隔离，避免主容器相互碰撞损坏。</w:t>
      </w:r>
    </w:p>
    <w:p w14:paraId="5D8365A1">
      <w:pPr>
        <w:pStyle w:val="165"/>
      </w:pPr>
      <w:r>
        <w:rPr>
          <w:rFonts w:hint="eastAsia" w:hAnsi="宋体" w:cs="宋体"/>
          <w:color w:val="000000"/>
          <w:szCs w:val="21"/>
        </w:rPr>
        <w:t>外包装应有与所要保护的内部包件的重量、尺寸和组成相适应的强度。B类外包装至少有一面的尺寸不小于100mm×100mm。A类外包装最小外部尺寸应不小100mm。</w:t>
      </w:r>
    </w:p>
    <w:p w14:paraId="5C45617D">
      <w:pPr>
        <w:pStyle w:val="165"/>
      </w:pPr>
      <w:r>
        <w:rPr>
          <w:rFonts w:hint="eastAsia"/>
        </w:rPr>
        <w:t>应在辅助容器与外包装之间放置一份所有内装物的详细清单，清单应置于防水袋中。</w:t>
      </w:r>
    </w:p>
    <w:p w14:paraId="630861F9">
      <w:pPr>
        <w:pStyle w:val="105"/>
        <w:spacing w:before="156" w:after="156"/>
      </w:pPr>
      <w:r>
        <w:rPr>
          <w:rFonts w:hint="eastAsia"/>
        </w:rPr>
        <w:t>包装规格及性能试验</w:t>
      </w:r>
    </w:p>
    <w:p w14:paraId="027372B0">
      <w:pPr>
        <w:pStyle w:val="165"/>
      </w:pPr>
      <w:r>
        <w:rPr>
          <w:rFonts w:hint="eastAsia" w:hAnsi="宋体" w:cs="宋体"/>
          <w:color w:val="000000"/>
          <w:szCs w:val="21"/>
        </w:rPr>
        <w:t>主容器和辅助容器应在无泄漏情况下承受95 kPa的内压，A类包装还应承受-40 ℃～+55 ℃的温度范围。测试要求参照联合国《关于危险货物运输的建议书 规章范本》(第二十二修订版)第6部分。</w:t>
      </w:r>
    </w:p>
    <w:p w14:paraId="2DFE488C">
      <w:pPr>
        <w:pStyle w:val="165"/>
      </w:pPr>
      <w:r>
        <w:rPr>
          <w:rFonts w:hint="eastAsia" w:hAnsi="宋体" w:cs="宋体"/>
          <w:color w:val="000000"/>
          <w:szCs w:val="21"/>
        </w:rPr>
        <w:t>B类包装应通过“1.2米高度跌落测试”，A类包装应通过“9米高度跌落测试、穿透试验、堆码试验”。测试要求参照联合国《关于危险货物运输的建议书 规章范本》(第二十二修订版)第6部分。</w:t>
      </w:r>
    </w:p>
    <w:p w14:paraId="5D4FAAC2">
      <w:pPr>
        <w:pStyle w:val="165"/>
      </w:pPr>
      <w:r>
        <w:rPr>
          <w:rFonts w:hint="eastAsia" w:hAnsi="宋体" w:cs="宋体"/>
          <w:color w:val="000000"/>
          <w:szCs w:val="21"/>
        </w:rPr>
        <w:t>对于A类包装的菌（毒）种或样本，通过客机货舱运输的，每个包件不得超50 mL或50 g，通过货机运输的，每个包件不得超过 4 L或4 kg。</w:t>
      </w:r>
    </w:p>
    <w:p w14:paraId="6848BBA7">
      <w:pPr>
        <w:pStyle w:val="165"/>
      </w:pPr>
      <w:r>
        <w:rPr>
          <w:rFonts w:hint="eastAsia" w:hAnsi="宋体" w:cs="宋体"/>
          <w:color w:val="000000"/>
          <w:szCs w:val="21"/>
        </w:rPr>
        <w:t>对于B类包装的菌（毒）种或样本，通过航空运输的，主容器的内装物不得超过1 L，外包装的容量不得超过4L（液体）或4 Kg（固体）。这不包括使用的任何数量的冷却剂，如干冰或液氮。</w:t>
      </w:r>
    </w:p>
    <w:p w14:paraId="525FC725">
      <w:pPr>
        <w:pStyle w:val="105"/>
        <w:spacing w:before="156" w:after="156"/>
      </w:pPr>
      <w:r>
        <w:rPr>
          <w:rFonts w:hint="eastAsia"/>
        </w:rPr>
        <w:t>标记和标签</w:t>
      </w:r>
    </w:p>
    <w:p w14:paraId="51F85E49">
      <w:pPr>
        <w:pStyle w:val="165"/>
      </w:pPr>
      <w:r>
        <w:rPr>
          <w:rFonts w:hint="eastAsia" w:hAnsi="宋体" w:cs="宋体"/>
          <w:color w:val="000000"/>
          <w:szCs w:val="21"/>
        </w:rPr>
        <w:t>外包装应标记护送人、收货人、负责人的姓名、联系电话、地址及生物安全危险标识。标记内容及标识应符合附录A.1、A.2要求。</w:t>
      </w:r>
    </w:p>
    <w:p w14:paraId="639D3395">
      <w:pPr>
        <w:pStyle w:val="165"/>
      </w:pPr>
      <w:r>
        <w:rPr>
          <w:rFonts w:hint="eastAsia" w:hAnsi="宋体" w:cs="宋体"/>
          <w:color w:val="000000"/>
          <w:szCs w:val="21"/>
        </w:rPr>
        <w:t>如使用了属于危险货物的制冷剂（如干冰、液氮），外包装上应贴上其危险性标签，并注明制冷剂的联合国编号、运输专用名称及制冷剂净数量。</w:t>
      </w:r>
    </w:p>
    <w:p w14:paraId="6F75D2FB">
      <w:pPr>
        <w:pStyle w:val="165"/>
      </w:pPr>
      <w:r>
        <w:rPr>
          <w:rFonts w:hint="eastAsia" w:hAnsi="宋体" w:cs="宋体"/>
          <w:color w:val="000000"/>
          <w:szCs w:val="21"/>
        </w:rPr>
        <w:t>A类包装的菌（毒）种或样本超过50mL，应贴黑色或红色方向向上标签。标签应显示两个箭头，指向正确的竖立方向。应是矩形的，大小清晰可辨，与外包装的尺寸相称。见附录A.3。</w:t>
      </w:r>
    </w:p>
    <w:p w14:paraId="6E16B9AD">
      <w:pPr>
        <w:pStyle w:val="165"/>
      </w:pPr>
      <w:r>
        <w:rPr>
          <w:rFonts w:hint="eastAsia" w:hAnsi="宋体" w:cs="宋体"/>
          <w:color w:val="000000"/>
          <w:szCs w:val="21"/>
        </w:rPr>
        <w:t>A类包装的菌（毒）种或样本航空运输的外包装还应有UN 2814规格包装的标记。</w:t>
      </w:r>
    </w:p>
    <w:p w14:paraId="2BD2F855">
      <w:pPr>
        <w:pStyle w:val="105"/>
        <w:spacing w:before="156" w:after="156"/>
      </w:pPr>
      <w:r>
        <w:rPr>
          <w:rFonts w:hint="eastAsia"/>
        </w:rPr>
        <w:t>冷藏或冷冻运输</w:t>
      </w:r>
    </w:p>
    <w:p w14:paraId="543B634D">
      <w:pPr>
        <w:pStyle w:val="165"/>
      </w:pPr>
      <w:r>
        <w:rPr>
          <w:rFonts w:hint="eastAsia" w:hAnsi="宋体" w:cs="宋体"/>
          <w:color w:val="000000"/>
          <w:szCs w:val="21"/>
        </w:rPr>
        <w:t>使用的包装应能够在冷却剂所提供的温度下保持完整性。</w:t>
      </w:r>
    </w:p>
    <w:p w14:paraId="10563604">
      <w:pPr>
        <w:pStyle w:val="165"/>
      </w:pPr>
      <w:r>
        <w:rPr>
          <w:rFonts w:hint="eastAsia" w:hAnsi="宋体" w:cs="宋体"/>
          <w:color w:val="000000"/>
          <w:szCs w:val="21"/>
        </w:rPr>
        <w:t>冷却剂应放在辅助容器和外包装之间，或放在用于将多个包件装在一起运输的合装件中。</w:t>
      </w:r>
    </w:p>
    <w:p w14:paraId="58B7B925">
      <w:pPr>
        <w:pStyle w:val="165"/>
      </w:pPr>
      <w:r>
        <w:rPr>
          <w:rFonts w:hint="eastAsia" w:hAnsi="宋体" w:cs="宋体"/>
          <w:color w:val="000000"/>
          <w:szCs w:val="21"/>
        </w:rPr>
        <w:t>如使用湿冰作为冷却剂，外包装应防漏并提供内部支持，保证冰融化后辅助容器仍固定在原始位置。</w:t>
      </w:r>
    </w:p>
    <w:p w14:paraId="7D571883">
      <w:pPr>
        <w:pStyle w:val="165"/>
      </w:pPr>
      <w:r>
        <w:rPr>
          <w:rFonts w:hint="eastAsia" w:hAnsi="宋体" w:cs="宋体"/>
          <w:color w:val="000000"/>
          <w:szCs w:val="21"/>
        </w:rPr>
        <w:t>如使用干冰作为冷却剂，外包装应由允许二氧化碳气体释放的材料组成，且承载菌（毒）种或样本运输装置应当遵循适当的通风安全规程。并考虑给辅助容器提供内部支撑，确保干冰消散后辅助容器仍固定在原始位置。</w:t>
      </w:r>
    </w:p>
    <w:p w14:paraId="1413133C">
      <w:pPr>
        <w:pStyle w:val="165"/>
      </w:pPr>
      <w:r>
        <w:rPr>
          <w:rFonts w:hint="eastAsia" w:hAnsi="宋体" w:cs="宋体"/>
          <w:color w:val="000000"/>
          <w:szCs w:val="21"/>
        </w:rPr>
        <w:t>如使用液氮或液氮装置作为冷却剂，主容器和辅助容器都应可承受其极端温度而不致损坏，并符合危险物品航空运输的相关要求。</w:t>
      </w:r>
    </w:p>
    <w:p w14:paraId="598EB1AE">
      <w:pPr>
        <w:pStyle w:val="105"/>
        <w:spacing w:before="156" w:after="156"/>
      </w:pPr>
      <w:r>
        <w:rPr>
          <w:rFonts w:hint="eastAsia"/>
        </w:rPr>
        <w:t>带稳定剂的运输</w:t>
      </w:r>
    </w:p>
    <w:p w14:paraId="0F9D5A2B">
      <w:pPr>
        <w:pStyle w:val="165"/>
        <w:numPr>
          <w:ilvl w:val="0"/>
          <w:numId w:val="0"/>
        </w:numPr>
        <w:rPr>
          <w:rFonts w:hAnsi="宋体" w:cs="宋体"/>
          <w:color w:val="000000"/>
          <w:szCs w:val="21"/>
        </w:rPr>
      </w:pPr>
      <w:r>
        <w:rPr>
          <w:rFonts w:hint="eastAsia" w:hAnsi="宋体" w:cs="宋体"/>
          <w:color w:val="000000"/>
          <w:szCs w:val="21"/>
        </w:rPr>
        <w:t>为维持菌（毒）种或样本的活力、稳定或防止它们变质或抑制它们的危险性，小于或等于30 ml的稳定剂可装入每个装有菌（毒）种或样本的主容器。</w:t>
      </w:r>
    </w:p>
    <w:p w14:paraId="458F9477">
      <w:pPr>
        <w:pStyle w:val="104"/>
        <w:spacing w:before="312" w:after="312"/>
      </w:pPr>
      <w:r>
        <w:rPr>
          <w:rFonts w:hint="eastAsia"/>
        </w:rPr>
        <w:t>运输包装要求</w:t>
      </w:r>
    </w:p>
    <w:p w14:paraId="1A5F3C18">
      <w:pPr>
        <w:pStyle w:val="162"/>
      </w:pPr>
      <w:r>
        <w:rPr>
          <w:rFonts w:hAnsi="宋体" w:cs="宋体"/>
          <w:color w:val="000000"/>
          <w:szCs w:val="21"/>
        </w:rPr>
        <w:t>在实验室内的</w:t>
      </w:r>
      <w:r>
        <w:rPr>
          <w:rFonts w:hint="eastAsia" w:hAnsi="宋体" w:cs="宋体"/>
          <w:color w:val="000000"/>
          <w:szCs w:val="21"/>
        </w:rPr>
        <w:t>运输</w:t>
      </w:r>
      <w:r>
        <w:rPr>
          <w:rFonts w:hAnsi="宋体" w:cs="宋体"/>
          <w:color w:val="000000"/>
          <w:szCs w:val="21"/>
        </w:rPr>
        <w:t>宜使用密封容器，置于光滑不透水材料制成的盒子或深边托盘装载菌（毒）种或样本，方便清洁消毒。</w:t>
      </w:r>
    </w:p>
    <w:p w14:paraId="17C46071">
      <w:pPr>
        <w:pStyle w:val="162"/>
      </w:pPr>
      <w:r>
        <w:rPr>
          <w:rFonts w:hAnsi="宋体" w:cs="宋体"/>
          <w:color w:val="000000"/>
          <w:szCs w:val="21"/>
        </w:rPr>
        <w:t>在</w:t>
      </w:r>
      <w:r>
        <w:rPr>
          <w:rFonts w:hint="eastAsia" w:hAnsi="宋体" w:cs="宋体"/>
          <w:color w:val="000000"/>
          <w:szCs w:val="21"/>
        </w:rPr>
        <w:t>建筑物内的运输</w:t>
      </w:r>
      <w:r>
        <w:rPr>
          <w:rFonts w:hAnsi="宋体" w:cs="宋体"/>
          <w:color w:val="000000"/>
          <w:szCs w:val="21"/>
        </w:rPr>
        <w:t>应使用密封容器，置于光滑不透水材料制成的盒子中，采取适当措施加以固定，并在离开实验室前清除表面污染。</w:t>
      </w:r>
    </w:p>
    <w:p w14:paraId="57BBEC53">
      <w:pPr>
        <w:pStyle w:val="162"/>
      </w:pPr>
      <w:r>
        <w:rPr>
          <w:rFonts w:hAnsi="宋体" w:cs="宋体"/>
          <w:color w:val="000000"/>
          <w:szCs w:val="21"/>
        </w:rPr>
        <w:t>在单位同一场所内不同建筑物间的转移，宜采用基本三层包装，并在离开实验室前清除表面污染。适用时，应在包装上标注生物危害符号。</w:t>
      </w:r>
    </w:p>
    <w:p w14:paraId="27783D8F">
      <w:pPr>
        <w:pStyle w:val="104"/>
        <w:spacing w:before="312" w:after="312"/>
      </w:pPr>
      <w:r>
        <w:rPr>
          <w:rFonts w:hint="eastAsia"/>
        </w:rPr>
        <w:t>包装材料的消毒与重复使用</w:t>
      </w:r>
    </w:p>
    <w:p w14:paraId="41CED0C7">
      <w:pPr>
        <w:pStyle w:val="162"/>
      </w:pPr>
      <w:r>
        <w:rPr>
          <w:rFonts w:hint="eastAsia" w:hAnsi="宋体" w:cs="宋体"/>
          <w:color w:val="000000"/>
          <w:szCs w:val="21"/>
        </w:rPr>
        <w:t>包装完成后，应立即采用有效消毒方式对外包装进行消毒。</w:t>
      </w:r>
    </w:p>
    <w:p w14:paraId="349A2425">
      <w:pPr>
        <w:pStyle w:val="162"/>
      </w:pPr>
      <w:r>
        <w:rPr>
          <w:rFonts w:hint="eastAsia" w:hAnsi="宋体" w:cs="宋体"/>
          <w:color w:val="000000"/>
          <w:szCs w:val="21"/>
        </w:rPr>
        <w:t>回收或重复使用包装材料之前，应对其进行有效消毒，并去除或抹去任何表明其含有菌（毒）种或样本的标记和标签。</w:t>
      </w:r>
    </w:p>
    <w:p w14:paraId="67237FA4">
      <w:pPr>
        <w:pStyle w:val="162"/>
      </w:pPr>
      <w:r>
        <w:rPr>
          <w:rFonts w:hint="eastAsia" w:hAnsi="宋体" w:cs="宋体"/>
          <w:color w:val="000000"/>
          <w:szCs w:val="21"/>
        </w:rPr>
        <w:t>如包装被重新使用，应确保所有标记和标签都反映实际装运的物质。</w:t>
      </w:r>
    </w:p>
    <w:p w14:paraId="27F06F16">
      <w:pPr>
        <w:pStyle w:val="162"/>
      </w:pPr>
      <w:r>
        <w:rPr>
          <w:rFonts w:hint="eastAsia" w:hAnsi="宋体" w:cs="宋体"/>
          <w:color w:val="000000"/>
          <w:szCs w:val="21"/>
        </w:rPr>
        <w:t>重复使用的包装应保持其性能，符合 4 的要求。如包装材料损坏或强度降低，则不应再使用。</w:t>
      </w:r>
    </w:p>
    <w:p w14:paraId="17EDB613">
      <w:pPr>
        <w:pStyle w:val="162"/>
        <w:numPr>
          <w:ilvl w:val="0"/>
          <w:numId w:val="0"/>
        </w:numPr>
        <w:rPr>
          <w:rFonts w:hint="eastAsia"/>
        </w:rPr>
      </w:pPr>
    </w:p>
    <w:p w14:paraId="6A73FDED">
      <w:pPr>
        <w:pStyle w:val="162"/>
        <w:numPr>
          <w:ilvl w:val="0"/>
          <w:numId w:val="0"/>
        </w:numPr>
        <w:sectPr>
          <w:pgSz w:w="11906" w:h="16838"/>
          <w:pgMar w:top="1928" w:right="1134" w:bottom="1134" w:left="1134" w:header="1418" w:footer="1134" w:gutter="284"/>
          <w:pgNumType w:start="1"/>
          <w:cols w:space="425" w:num="1"/>
          <w:formProt w:val="0"/>
          <w:docGrid w:type="lines" w:linePitch="312" w:charSpace="0"/>
        </w:sectPr>
      </w:pPr>
    </w:p>
    <w:bookmarkEnd w:id="22"/>
    <w:p w14:paraId="5021689E">
      <w:pPr>
        <w:pStyle w:val="198"/>
        <w:rPr>
          <w:rFonts w:hint="eastAsia"/>
          <w:vanish w:val="0"/>
        </w:rPr>
      </w:pPr>
      <w:bookmarkStart w:id="44" w:name="BookMark5"/>
    </w:p>
    <w:p w14:paraId="6309F8F4">
      <w:pPr>
        <w:pStyle w:val="199"/>
        <w:rPr>
          <w:rFonts w:hint="eastAsia"/>
          <w:vanish w:val="0"/>
        </w:rPr>
      </w:pPr>
    </w:p>
    <w:p w14:paraId="79D84DFA">
      <w:pPr>
        <w:pStyle w:val="76"/>
        <w:spacing w:after="156"/>
        <w:rPr>
          <w:rFonts w:hint="eastAsia"/>
        </w:rPr>
      </w:pPr>
      <w:r>
        <w:rPr>
          <w:rFonts w:hint="eastAsia" w:ascii="宋体" w:hAnsi="宋体" w:eastAsia="宋体" w:cs="宋体"/>
          <w:color w:val="000000"/>
          <w:szCs w:val="21"/>
        </w:rPr>
        <w:drawing>
          <wp:anchor distT="0" distB="0" distL="114300" distR="114300" simplePos="0" relativeHeight="251661312" behindDoc="0" locked="0" layoutInCell="1" allowOverlap="1">
            <wp:simplePos x="0" y="0"/>
            <wp:positionH relativeFrom="column">
              <wp:posOffset>1745615</wp:posOffset>
            </wp:positionH>
            <wp:positionV relativeFrom="paragraph">
              <wp:posOffset>1198880</wp:posOffset>
            </wp:positionV>
            <wp:extent cx="2173605" cy="2609215"/>
            <wp:effectExtent l="0" t="0" r="5715" b="12065"/>
            <wp:wrapTopAndBottom/>
            <wp:docPr id="1" name="图片 1" descr="5487affed765694bdcae22997327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487affed765694bdcae22997327079"/>
                    <pic:cNvPicPr>
                      <a:picLocks noChangeAspect="1"/>
                    </pic:cNvPicPr>
                  </pic:nvPicPr>
                  <pic:blipFill>
                    <a:blip r:embed="rId16"/>
                    <a:stretch>
                      <a:fillRect/>
                    </a:stretch>
                  </pic:blipFill>
                  <pic:spPr>
                    <a:xfrm>
                      <a:off x="0" y="0"/>
                      <a:ext cx="2173605" cy="2609215"/>
                    </a:xfrm>
                    <a:prstGeom prst="rect">
                      <a:avLst/>
                    </a:prstGeom>
                  </pic:spPr>
                </pic:pic>
              </a:graphicData>
            </a:graphic>
          </wp:anchor>
        </w:drawing>
      </w:r>
      <w:r>
        <w:br w:type="textWrapping"/>
      </w:r>
      <w:r>
        <w:rPr>
          <w:rFonts w:hint="eastAsia"/>
        </w:rPr>
        <w:t>（资料性）</w:t>
      </w:r>
      <w:r>
        <w:br w:type="textWrapping"/>
      </w:r>
      <w:r>
        <w:rPr>
          <w:rFonts w:hint="eastAsia"/>
        </w:rPr>
        <w:t>高致病性病原微生物菌（毒）种或样本包装标签</w:t>
      </w:r>
    </w:p>
    <w:p w14:paraId="5AE567D2">
      <w:pPr>
        <w:pStyle w:val="182"/>
        <w:ind w:firstLine="360"/>
        <w:jc w:val="center"/>
        <w:rPr>
          <w:rFonts w:hint="eastAsia"/>
        </w:rPr>
      </w:pPr>
      <w:r>
        <w:rPr>
          <w:rFonts w:hint="eastAsia" w:hAnsi="宋体" w:cs="宋体"/>
          <w:color w:val="000000"/>
          <w:szCs w:val="21"/>
        </w:rPr>
        <w:drawing>
          <wp:anchor distT="0" distB="0" distL="114300" distR="114300" simplePos="0" relativeHeight="251662336" behindDoc="0" locked="0" layoutInCell="1" allowOverlap="1">
            <wp:simplePos x="0" y="0"/>
            <wp:positionH relativeFrom="column">
              <wp:posOffset>1001395</wp:posOffset>
            </wp:positionH>
            <wp:positionV relativeFrom="paragraph">
              <wp:posOffset>3027045</wp:posOffset>
            </wp:positionV>
            <wp:extent cx="3573145" cy="1915795"/>
            <wp:effectExtent l="0" t="0" r="8255" b="4445"/>
            <wp:wrapTopAndBottom/>
            <wp:docPr id="2" name="图片 2" descr="522528477e47da11cd63064c338df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22528477e47da11cd63064c338dfe3"/>
                    <pic:cNvPicPr>
                      <a:picLocks noChangeAspect="1"/>
                    </pic:cNvPicPr>
                  </pic:nvPicPr>
                  <pic:blipFill>
                    <a:blip r:embed="rId17"/>
                    <a:stretch>
                      <a:fillRect/>
                    </a:stretch>
                  </pic:blipFill>
                  <pic:spPr>
                    <a:xfrm>
                      <a:off x="0" y="0"/>
                      <a:ext cx="3573145" cy="1915795"/>
                    </a:xfrm>
                    <a:prstGeom prst="rect">
                      <a:avLst/>
                    </a:prstGeom>
                  </pic:spPr>
                </pic:pic>
              </a:graphicData>
            </a:graphic>
          </wp:anchor>
        </w:drawing>
      </w:r>
      <w:r>
        <w:rPr>
          <w:rFonts w:hint="eastAsia"/>
        </w:rPr>
        <w:t>图A.1  高致病性病原微生物危险标签</w:t>
      </w:r>
    </w:p>
    <w:p w14:paraId="767C6AFE">
      <w:pPr>
        <w:pStyle w:val="182"/>
        <w:ind w:firstLine="360"/>
        <w:jc w:val="center"/>
      </w:pPr>
      <w:r>
        <w:rPr>
          <w:rFonts w:hint="eastAsia" w:hAnsi="宋体" w:cs="宋体"/>
          <w:color w:val="000000"/>
          <w:szCs w:val="21"/>
        </w:rPr>
        <w:drawing>
          <wp:anchor distT="0" distB="0" distL="114300" distR="114300" simplePos="0" relativeHeight="251663360" behindDoc="0" locked="0" layoutInCell="1" allowOverlap="1">
            <wp:simplePos x="0" y="0"/>
            <wp:positionH relativeFrom="column">
              <wp:posOffset>2018030</wp:posOffset>
            </wp:positionH>
            <wp:positionV relativeFrom="paragraph">
              <wp:posOffset>2326005</wp:posOffset>
            </wp:positionV>
            <wp:extent cx="1492250" cy="2011680"/>
            <wp:effectExtent l="0" t="0" r="1270" b="0"/>
            <wp:wrapTopAndBottom/>
            <wp:docPr id="7" name="图片 7" descr="79cf6d09c572e2ca28c4d6f541e64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9cf6d09c572e2ca28c4d6f541e640d"/>
                    <pic:cNvPicPr>
                      <a:picLocks noChangeAspect="1"/>
                    </pic:cNvPicPr>
                  </pic:nvPicPr>
                  <pic:blipFill>
                    <a:blip r:embed="rId18"/>
                    <a:stretch>
                      <a:fillRect/>
                    </a:stretch>
                  </pic:blipFill>
                  <pic:spPr>
                    <a:xfrm>
                      <a:off x="0" y="0"/>
                      <a:ext cx="1492250" cy="2011680"/>
                    </a:xfrm>
                    <a:prstGeom prst="rect">
                      <a:avLst/>
                    </a:prstGeom>
                  </pic:spPr>
                </pic:pic>
              </a:graphicData>
            </a:graphic>
          </wp:anchor>
        </w:drawing>
      </w:r>
      <w:r>
        <w:rPr>
          <w:rFonts w:hint="eastAsia"/>
        </w:rPr>
        <w:t>图A.2  高致病性病原微生物运输登记表</w:t>
      </w:r>
    </w:p>
    <w:p w14:paraId="405CE8AA">
      <w:pPr>
        <w:pStyle w:val="182"/>
        <w:ind w:firstLine="0" w:firstLineChars="0"/>
        <w:jc w:val="center"/>
        <w:rPr>
          <w:rFonts w:hint="eastAsia"/>
        </w:rPr>
      </w:pPr>
      <w:r>
        <w:rPr>
          <w:rFonts w:hint="eastAsia"/>
        </w:rPr>
        <w:t>图A.3  外包装放置方向标识</w:t>
      </w:r>
      <w:bookmarkEnd w:id="4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2C49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C440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2722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F7DC4">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4B74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53D3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47C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9D255">
    <w:pPr>
      <w:pStyle w:val="61"/>
    </w:pPr>
    <w:r>
      <w:fldChar w:fldCharType="begin"/>
    </w:r>
    <w:r>
      <w:instrText xml:space="preserve"> STYLEREF  标准文件_文件编号  \* MERGEFORMAT </w:instrText>
    </w:r>
    <w:r>
      <w:fldChar w:fldCharType="separate"/>
    </w:r>
    <w:r>
      <w:t>DB 50/T 2024—XXXX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14EA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50/T 2024—XXXX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42"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E3f/Dh8X9GA7+6I5InXD+SLEjnNslm+Wrxp4ozRFI2EhbHc+4uouc8yROGA0ZR8dulkxNcqQE30bgstgBdK1uA==" w:salt="Ksf+GP1C0+jejAb69z9RJ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F0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E5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80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F04"/>
    <w:rsid w:val="005C29B8"/>
    <w:rsid w:val="005C5F21"/>
    <w:rsid w:val="005C7156"/>
    <w:rsid w:val="005D0C75"/>
    <w:rsid w:val="005D2AB8"/>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9F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F6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988"/>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46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E74"/>
    <w:rsid w:val="00D32719"/>
    <w:rsid w:val="00D33333"/>
    <w:rsid w:val="00D33457"/>
    <w:rsid w:val="00D352A2"/>
    <w:rsid w:val="00D3660F"/>
    <w:rsid w:val="00D4162B"/>
    <w:rsid w:val="00D4514F"/>
    <w:rsid w:val="00D451E2"/>
    <w:rsid w:val="00D45E89"/>
    <w:rsid w:val="00D45E8D"/>
    <w:rsid w:val="00D466AE"/>
    <w:rsid w:val="00D4734F"/>
    <w:rsid w:val="00D51BF3"/>
    <w:rsid w:val="00D53107"/>
    <w:rsid w:val="00D66846"/>
    <w:rsid w:val="00D675FB"/>
    <w:rsid w:val="00D71F25"/>
    <w:rsid w:val="00D72A9C"/>
    <w:rsid w:val="00D77031"/>
    <w:rsid w:val="00D8313D"/>
    <w:rsid w:val="00D84941"/>
    <w:rsid w:val="00D84FA1"/>
    <w:rsid w:val="00D851F0"/>
    <w:rsid w:val="00D86DB7"/>
    <w:rsid w:val="00D926D0"/>
    <w:rsid w:val="00D93030"/>
    <w:rsid w:val="00D933EE"/>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4ED"/>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BC4"/>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07C613A"/>
    <w:rsid w:val="4C7139AC"/>
    <w:rsid w:val="58122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D79DEEDFF694BAABB5ACB118D42D79A"/>
        <w:style w:val=""/>
        <w:category>
          <w:name w:val="常规"/>
          <w:gallery w:val="placeholder"/>
        </w:category>
        <w:types>
          <w:type w:val="bbPlcHdr"/>
        </w:types>
        <w:behaviors>
          <w:behavior w:val="content"/>
        </w:behaviors>
        <w:description w:val=""/>
        <w:guid w:val="{309AAF77-D105-4814-8F98-86055A5683DA}"/>
      </w:docPartPr>
      <w:docPartBody>
        <w:p w14:paraId="48D596D0">
          <w:pPr>
            <w:pStyle w:val="5"/>
          </w:pPr>
          <w:r>
            <w:rPr>
              <w:rStyle w:val="4"/>
              <w:rFonts w:hint="eastAsia"/>
            </w:rPr>
            <w:t>单击或点击此处输入文字。</w:t>
          </w:r>
        </w:p>
      </w:docPartBody>
    </w:docPart>
    <w:docPart>
      <w:docPartPr>
        <w:name w:val="F0B1AB5AC6044F36A93D6CE6B08635AB"/>
        <w:style w:val=""/>
        <w:category>
          <w:name w:val="常规"/>
          <w:gallery w:val="placeholder"/>
        </w:category>
        <w:types>
          <w:type w:val="bbPlcHdr"/>
        </w:types>
        <w:behaviors>
          <w:behavior w:val="content"/>
        </w:behaviors>
        <w:description w:val=""/>
        <w:guid w:val="{4C585F4F-5B00-40AD-AED0-7213C61DB81A}"/>
      </w:docPartPr>
      <w:docPartBody>
        <w:p w14:paraId="4CF8D7ED">
          <w:pPr>
            <w:pStyle w:val="6"/>
          </w:pPr>
          <w:r>
            <w:rPr>
              <w:rStyle w:val="4"/>
              <w:rFonts w:hint="eastAsia"/>
            </w:rPr>
            <w:t>选择一项。</w:t>
          </w:r>
        </w:p>
      </w:docPartBody>
    </w:docPart>
    <w:docPart>
      <w:docPartPr>
        <w:name w:val="80351CF02EDF4112A9260117407DC768"/>
        <w:style w:val=""/>
        <w:category>
          <w:name w:val="常规"/>
          <w:gallery w:val="placeholder"/>
        </w:category>
        <w:types>
          <w:type w:val="bbPlcHdr"/>
        </w:types>
        <w:behaviors>
          <w:behavior w:val="content"/>
        </w:behaviors>
        <w:description w:val=""/>
        <w:guid w:val="{06D67191-7780-4E53-BBE9-EB15C32AC446}"/>
      </w:docPartPr>
      <w:docPartBody>
        <w:p w14:paraId="76B3CFA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A59"/>
    <w:rsid w:val="00BC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AD79DEEDFF694BAABB5ACB118D42D79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0B1AB5AC6044F36A93D6CE6B08635A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0351CF02EDF4112A9260117407DC76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AA3DAE-D6C8-4AB7-8E44-C35D5AFA11F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2825</Words>
  <Characters>3162</Characters>
  <Lines>337</Lines>
  <Paragraphs>303</Paragraphs>
  <TotalTime>3</TotalTime>
  <ScaleCrop>false</ScaleCrop>
  <LinksUpToDate>false</LinksUpToDate>
  <CharactersWithSpaces>3241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2024-08-19T04:26:00Z</dcterms:created>
  <dc:creator>Windows User</dc:creator>
  <dc:description>&lt;config cover="true" show_menu="true" version="1.0.0" doctype="SDKXY"&gt;_x000d_
&lt;/config&gt;</dc:description>
  <cp:lastModifiedBy>廖爱玲</cp:lastModifiedBy>
  <cp:lastPrinted>2024-08-19T04:26:00Z</cp:lastPrinted>
  <dcterms:modified xsi:type="dcterms:W3CDTF">2025-02-18T05:53:44Z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eyJoZGlkIjoiN2RhNzYxNGRhZmViOGJmOTA2ZjI3MmQyNjMxZTNiM2UiLCJ1c2VySWQiOiIzMDU1NjA4NzYifQ==</vt:lpwstr>
  </property>
  <property fmtid="{D5CDD505-2E9C-101B-9397-08002B2CF9AE}" pid="15" name="KSOProductBuildVer">
    <vt:lpwstr>2052-12.1.0.19770</vt:lpwstr>
  </property>
  <property fmtid="{D5CDD505-2E9C-101B-9397-08002B2CF9AE}" pid="16" name="ICV">
    <vt:lpwstr>2659D3D67DA34C25822632436376A49B_12</vt:lpwstr>
  </property>
</Properties>
</file>